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0"/>
      </w:pPr>
      <w:r>
        <w:rPr>
          <w:rFonts w:ascii="Courier New" w:cs="Courier New" w:eastAsia="Courier New" w:hAnsi="Courier New"/>
          <w:caps/>
          <w:color w:val="B8893A"/>
          <w:spacing w:val="40"/>
          <w:sz w:val="18"/>
          <w:szCs w:val="18"/>
        </w:rPr>
        <w:t xml:space="preserve">liquiditycontroller.com  ·  Controller Template Library</w:t>
      </w:r>
    </w:p>
    <w:p>
      <w:pPr>
        <w:pBdr>
          <w:bottom w:val="single" w:color="B8893A" w:sz="6" w:space="1"/>
        </w:pBdr>
        <w:spacing w:after="200" w:before="0"/>
      </w:pPr>
    </w:p>
    <w:p>
      <w:pPr>
        <w:spacing w:after="0" w:before="120"/>
      </w:pPr>
    </w:p>
    <w:p>
      <w:pPr>
        <w:pStyle w:val="Heading1"/>
        <w:spacing w:after="160" w:before="0"/>
      </w:pPr>
      <w:r>
        <w:rPr>
          <w:rFonts w:ascii="Georgia" w:cs="Georgia" w:eastAsia="Georgia" w:hAnsi="Georgia"/>
          <w:b/>
          <w:bCs/>
          <w:color w:val="0A0E1A"/>
          <w:sz w:val="40"/>
          <w:szCs w:val="40"/>
        </w:rPr>
        <w:t xml:space="preserve">Operational Loss Event Documentation</w:t>
      </w:r>
    </w:p>
    <w:p>
      <w:pPr>
        <w:spacing w:after="240" w:before="0"/>
      </w:pPr>
      <w:r>
        <w:rPr>
          <w:rFonts w:ascii="Georgia" w:cs="Georgia" w:eastAsia="Georgia" w:hAnsi="Georgia"/>
          <w:i/>
          <w:iCs/>
          <w:color w:val="3C465C"/>
          <w:sz w:val="26"/>
          <w:szCs w:val="26"/>
        </w:rPr>
        <w:t xml:space="preserve">Basel Operational Risk — Event Capture</w:t>
      </w:r>
    </w:p>
    <w:p>
      <w:pPr>
        <w:spacing w:after="400" w:before="0"/>
      </w:pPr>
      <w:r>
        <w:rPr>
          <w:rFonts w:ascii="Arial" w:cs="Arial" w:eastAsia="Arial" w:hAnsi="Arial"/>
          <w:b/>
          <w:bCs/>
          <w:color w:val="3C465C"/>
          <w:sz w:val="20"/>
          <w:szCs w:val="20"/>
        </w:rPr>
        <w:t xml:space="preserve">Version: </w:t>
      </w:r>
      <w:r>
        <w:rPr>
          <w:rFonts w:ascii="Courier New" w:cs="Courier New" w:eastAsia="Courier New" w:hAnsi="Courier New"/>
          <w:color w:val="1E3A8A"/>
          <w:sz w:val="20"/>
          <w:szCs w:val="20"/>
        </w:rPr>
        <w:t xml:space="preserve">v1.0  </w:t>
      </w:r>
      <w:r>
        <w:rPr>
          <w:rFonts w:ascii="Arial" w:cs="Arial" w:eastAsia="Arial" w:hAnsi="Arial"/>
          <w:b/>
          <w:bCs/>
          <w:color w:val="3C465C"/>
          <w:sz w:val="20"/>
          <w:szCs w:val="20"/>
        </w:rPr>
        <w:t xml:space="preserve">  |  Date: </w:t>
      </w:r>
      <w:r>
        <w:rPr>
          <w:rFonts w:ascii="Arial" w:cs="Arial" w:eastAsia="Arial" w:hAnsi="Arial"/>
          <w:color w:val="3C465C"/>
          <w:sz w:val="20"/>
          <w:szCs w:val="20"/>
        </w:rPr>
        <w:t xml:space="preserve">__________________  </w:t>
      </w:r>
      <w:r>
        <w:rPr>
          <w:rFonts w:ascii="Arial" w:cs="Arial" w:eastAsia="Arial" w:hAnsi="Arial"/>
          <w:b/>
          <w:bCs/>
          <w:color w:val="3C465C"/>
          <w:sz w:val="20"/>
          <w:szCs w:val="20"/>
        </w:rPr>
        <w:t xml:space="preserve">  |  Prepared by: </w:t>
      </w:r>
      <w:r>
        <w:rPr>
          <w:rFonts w:ascii="Arial" w:cs="Arial" w:eastAsia="Arial" w:hAnsi="Arial"/>
          <w:color w:val="3C465C"/>
          <w:sz w:val="20"/>
          <w:szCs w:val="20"/>
        </w:rPr>
        <w:t xml:space="preserve">__________________</w:t>
      </w:r>
    </w:p>
    <w:p>
      <w:pPr>
        <w:pBdr>
          <w:bottom w:val="single" w:color="1E3A8A" w:sz="6" w:space="1"/>
        </w:pBdr>
        <w:spacing w:after="200" w:before="0"/>
      </w:pPr>
    </w:p>
    <w:p>
      <w:pPr>
        <w:spacing w:after="120" w:before="80"/>
      </w:pPr>
      <w:r>
        <w:rPr>
          <w:rFonts w:ascii="Arial" w:cs="Arial" w:eastAsia="Arial" w:hAnsi="Arial"/>
          <w:color w:val="3C465C"/>
          <w:sz w:val="22"/>
          <w:szCs w:val="22"/>
        </w:rPr>
        <w:t xml:space="preserve">Complete this form for each operational loss event meeting the capture threshold. Retain in the operational loss database and escalate per the Operational Risk Event Policy.</w:t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1E3A8A"/>
          <w:sz w:val="24"/>
          <w:szCs w:val="24"/>
        </w:rPr>
        <w:t xml:space="preserve">1. Event Identification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E3A8A"/>
          <w:sz w:val="20"/>
          <w:szCs w:val="20"/>
        </w:rPr>
        <w:t xml:space="preserve">Event ID (assigned by OpRisk system):</w:t>
      </w:r>
    </w:p>
    <w:p>
      <w:pPr>
        <w:pBdr>
          <w:bottom w:val="single" w:color="DCDCD0" w:sz="4" w:space="1"/>
        </w:pBdr>
        <w:spacing w:after="80" w:before="0"/>
      </w:pPr>
      <w:r>
        <w:rPr>
          <w:rFonts w:ascii="Arial" w:cs="Arial" w:eastAsia="Arial" w:hAnsi="Arial"/>
          <w:i/>
          <w:iCs/>
          <w:color w:val="AAAAAA"/>
          <w:sz w:val="22"/>
          <w:szCs w:val="22"/>
        </w:rPr>
        <w:t xml:space="preserve"/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E3A8A"/>
          <w:sz w:val="20"/>
          <w:szCs w:val="20"/>
        </w:rPr>
        <w:t xml:space="preserve">Date event occurred:</w:t>
      </w:r>
    </w:p>
    <w:p>
      <w:pPr>
        <w:pBdr>
          <w:bottom w:val="single" w:color="DCDCD0" w:sz="4" w:space="1"/>
        </w:pBdr>
        <w:spacing w:after="80" w:before="0"/>
      </w:pPr>
      <w:r>
        <w:rPr>
          <w:rFonts w:ascii="Arial" w:cs="Arial" w:eastAsia="Arial" w:hAnsi="Arial"/>
          <w:i/>
          <w:iCs/>
          <w:color w:val="AAAAAA"/>
          <w:sz w:val="22"/>
          <w:szCs w:val="22"/>
        </w:rPr>
        <w:t xml:space="preserve"/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E3A8A"/>
          <w:sz w:val="20"/>
          <w:szCs w:val="20"/>
        </w:rPr>
        <w:t xml:space="preserve">Date event discovered:</w:t>
      </w:r>
    </w:p>
    <w:p>
      <w:pPr>
        <w:pBdr>
          <w:bottom w:val="single" w:color="DCDCD0" w:sz="4" w:space="1"/>
        </w:pBdr>
        <w:spacing w:after="80" w:before="0"/>
      </w:pPr>
      <w:r>
        <w:rPr>
          <w:rFonts w:ascii="Arial" w:cs="Arial" w:eastAsia="Arial" w:hAnsi="Arial"/>
          <w:i/>
          <w:iCs/>
          <w:color w:val="AAAAAA"/>
          <w:sz w:val="22"/>
          <w:szCs w:val="22"/>
        </w:rPr>
        <w:t xml:space="preserve"/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E3A8A"/>
          <w:sz w:val="20"/>
          <w:szCs w:val="20"/>
        </w:rPr>
        <w:t xml:space="preserve">Business line:</w:t>
      </w:r>
    </w:p>
    <w:p>
      <w:pPr>
        <w:pBdr>
          <w:bottom w:val="single" w:color="DCDCD0" w:sz="4" w:space="1"/>
        </w:pBdr>
        <w:spacing w:after="80" w:before="0"/>
      </w:pPr>
      <w:r>
        <w:rPr>
          <w:rFonts w:ascii="Arial" w:cs="Arial" w:eastAsia="Arial" w:hAnsi="Arial"/>
          <w:i/>
          <w:iCs/>
          <w:color w:val="AAAAAA"/>
          <w:sz w:val="22"/>
          <w:szCs w:val="22"/>
        </w:rPr>
        <w:t xml:space="preserve">☐ Wires / Fedwire   ☐ ACH   ☐ RTP / FedNow   ☐ Trade Finance   ☐ FX   ☐ Correspondent   ☐ Other: ____</w:t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1E3A8A"/>
          <w:sz w:val="24"/>
          <w:szCs w:val="24"/>
        </w:rPr>
        <w:t xml:space="preserve">2. Basel Loss Event Classification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E3A8A"/>
          <w:sz w:val="20"/>
          <w:szCs w:val="20"/>
        </w:rPr>
        <w:t xml:space="preserve">Basel category (select primary):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C465C"/>
          <w:sz w:val="22"/>
          <w:szCs w:val="22"/>
        </w:rPr>
        <w:t xml:space="preserve">☐  Internal Fraud (unauthorized activity, misappropriation)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C465C"/>
          <w:sz w:val="22"/>
          <w:szCs w:val="22"/>
        </w:rPr>
        <w:t xml:space="preserve">☐  External Fraud (wire fraud / BEC, unauthorized system access, forgery)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C465C"/>
          <w:sz w:val="22"/>
          <w:szCs w:val="22"/>
        </w:rPr>
        <w:t xml:space="preserve">☐  Employment Practices &amp; Workplace Safety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C465C"/>
          <w:sz w:val="22"/>
          <w:szCs w:val="22"/>
        </w:rPr>
        <w:t xml:space="preserve">☐  Clients, Products &amp; Business Practices (mis-selling, fiduciary)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C465C"/>
          <w:sz w:val="22"/>
          <w:szCs w:val="22"/>
        </w:rPr>
        <w:t xml:space="preserve">☐  Damage to Physical Assets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C465C"/>
          <w:sz w:val="22"/>
          <w:szCs w:val="22"/>
        </w:rPr>
        <w:t xml:space="preserve">☐  Business Disruption &amp; System Failures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C465C"/>
          <w:sz w:val="22"/>
          <w:szCs w:val="22"/>
        </w:rPr>
        <w:t xml:space="preserve">☐  Execution, Delivery &amp; Process Management (processing errors, settlement failures)</w:t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1E3A8A"/>
          <w:sz w:val="24"/>
          <w:szCs w:val="24"/>
        </w:rPr>
        <w:t xml:space="preserve">3. Loss Quantification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shd w:fill="1E3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Item</w:t>
            </w:r>
          </w:p>
        </w:tc>
        <w:tc>
          <w:tcPr>
            <w:tcW w:type="dxa" w:w="468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shd w:fill="1E3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Amount ($)</w:t>
            </w:r>
          </w:p>
        </w:tc>
      </w:tr>
      <w:tr>
        <w:tc>
          <w:tcPr>
            <w:tcW w:type="dxa" w:w="468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>Gross loss (before recovery)</w:t>
            </w:r>
          </w:p>
        </w:tc>
        <w:tc>
          <w:tcPr>
            <w:tcW w:type="dxa" w:w="468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>Insurance recovery received</w:t>
            </w:r>
          </w:p>
        </w:tc>
        <w:tc>
          <w:tcPr>
            <w:tcW w:type="dxa" w:w="468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>Other recovery (vendor / third party)</w:t>
            </w:r>
          </w:p>
        </w:tc>
        <w:tc>
          <w:tcPr>
            <w:tcW w:type="dxa" w:w="468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>Net loss (= gross - recovery)</w:t>
            </w:r>
          </w:p>
        </w:tc>
        <w:tc>
          <w:tcPr>
            <w:tcW w:type="dxa" w:w="468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/>
            </w:r>
          </w:p>
        </w:tc>
      </w:tr>
    </w:tbl>
    <w:p>
      <w:pPr>
        <w:spacing w:before="120"/>
      </w:pPr>
    </w:p>
    <w:p>
      <w:pPr>
        <w:spacing w:after="120" w:before="80"/>
      </w:pPr>
      <w:r>
        <w:rPr>
          <w:rFonts w:ascii="Arial" w:cs="Arial" w:eastAsia="Arial" w:hAnsi="Arial"/>
          <w:color w:val="3C465C"/>
          <w:sz w:val="22"/>
          <w:szCs w:val="22"/>
        </w:rPr>
        <w:t xml:space="preserve">Note: Regulatory capital models use gross loss. Internal P&amp;L reporting may use net loss. Both must be tracked.</w:t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1E3A8A"/>
          <w:sz w:val="24"/>
          <w:szCs w:val="24"/>
        </w:rPr>
        <w:t xml:space="preserve">4. Accounting Entries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E3A8A"/>
          <w:sz w:val="20"/>
          <w:szCs w:val="20"/>
        </w:rPr>
        <w:t xml:space="preserve">Was an ASC 450 reserve pre-existing for this event type?</w:t>
      </w:r>
    </w:p>
    <w:p>
      <w:pPr>
        <w:pBdr>
          <w:bottom w:val="single" w:color="DCDCD0" w:sz="4" w:space="1"/>
        </w:pBdr>
        <w:spacing w:after="80" w:before="0"/>
      </w:pPr>
      <w:r>
        <w:rPr>
          <w:rFonts w:ascii="Arial" w:cs="Arial" w:eastAsia="Arial" w:hAnsi="Arial"/>
          <w:i/>
          <w:iCs/>
          <w:color w:val="AAAAAA"/>
          <w:sz w:val="22"/>
          <w:szCs w:val="22"/>
        </w:rPr>
        <w:t xml:space="preserve">☐  Yes — reserve balance available: $____________   ☐  No — charge directly to expense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E3A8A"/>
          <w:sz w:val="20"/>
          <w:szCs w:val="20"/>
        </w:rPr>
        <w:t xml:space="preserve">Journal entry: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2340"/>
        <w:gridCol w:w="2340"/>
      </w:tblGrid>
      <w:tr>
        <w:tc>
          <w:tcPr>
            <w:tcW w:type="dxa" w:w="468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shd w:fill="1E3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Account</w:t>
            </w:r>
          </w:p>
        </w:tc>
        <w:tc>
          <w:tcPr>
            <w:tcW w:type="dxa" w:w="234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shd w:fill="1E3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Debit</w:t>
            </w:r>
          </w:p>
        </w:tc>
        <w:tc>
          <w:tcPr>
            <w:tcW w:type="dxa" w:w="234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shd w:fill="1E3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Credit</w:t>
            </w:r>
          </w:p>
        </w:tc>
      </w:tr>
      <w:tr>
        <w:tc>
          <w:tcPr>
            <w:tcW w:type="dxa" w:w="468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>Reserve for Op Losses (if reserved) or Non-Interest Expense — Op Losses</w:t>
            </w:r>
          </w:p>
        </w:tc>
        <w:tc>
          <w:tcPr>
            <w:tcW w:type="dxa" w:w="234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>$____________</w:t>
            </w:r>
          </w:p>
        </w:tc>
        <w:tc>
          <w:tcPr>
            <w:tcW w:type="dxa" w:w="234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>Cash / Receivable (loss payment / recovery)</w:t>
            </w:r>
          </w:p>
        </w:tc>
        <w:tc>
          <w:tcPr>
            <w:tcW w:type="dxa" w:w="234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>$____________</w:t>
            </w:r>
          </w:p>
        </w:tc>
        <w:tc>
          <w:tcPr>
            <w:tcW w:type="dxa" w:w="234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/>
            </w:r>
          </w:p>
        </w:tc>
      </w:tr>
    </w:tbl>
    <w:p>
      <w:pPr>
        <w:spacing w:before="120"/>
      </w:pP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1E3A8A"/>
          <w:sz w:val="24"/>
          <w:szCs w:val="24"/>
        </w:rPr>
        <w:t xml:space="preserve">5. Root Cause Analysis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E3A8A"/>
          <w:sz w:val="20"/>
          <w:szCs w:val="20"/>
        </w:rPr>
        <w:t xml:space="preserve">Root cause category:</w:t>
      </w:r>
    </w:p>
    <w:p>
      <w:pPr>
        <w:pBdr>
          <w:bottom w:val="single" w:color="DCDCD0" w:sz="4" w:space="1"/>
        </w:pBdr>
        <w:spacing w:after="80" w:before="0"/>
      </w:pPr>
      <w:r>
        <w:rPr>
          <w:rFonts w:ascii="Arial" w:cs="Arial" w:eastAsia="Arial" w:hAnsi="Arial"/>
          <w:i/>
          <w:iCs/>
          <w:color w:val="AAAAAA"/>
          <w:sz w:val="22"/>
          <w:szCs w:val="22"/>
        </w:rPr>
        <w:t xml:space="preserve">☐  Process failure   ☐  System failure   ☐  People / training   ☐  External (third party / counterparty)   ☐  Other: ____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E3A8A"/>
          <w:sz w:val="20"/>
          <w:szCs w:val="20"/>
        </w:rPr>
        <w:t xml:space="preserve">Detailed root cause narrative:</w:t>
      </w:r>
    </w:p>
    <w:p>
      <w:pPr>
        <w:pBdr>
          <w:bottom w:val="single" w:color="DCDCD0" w:sz="4" w:space="1"/>
        </w:pBdr>
        <w:spacing w:after="80" w:before="0"/>
      </w:pPr>
      <w:r>
        <w:rPr>
          <w:rFonts w:ascii="Arial" w:cs="Arial" w:eastAsia="Arial" w:hAnsi="Arial"/>
          <w:i/>
          <w:iCs/>
          <w:color w:val="AAAAAA"/>
          <w:sz w:val="22"/>
          <w:szCs w:val="22"/>
        </w:rPr>
        <w:t xml:space="preserve"/>
      </w:r>
    </w:p>
    <w:p>
      <w:pPr>
        <w:pBdr>
          <w:bottom w:val="single" w:color="DCDCD0" w:sz="4" w:space="1"/>
        </w:pBdr>
        <w:spacing w:after="80" w:before="0"/>
      </w:pPr>
      <w:r>
        <w:rPr>
          <w:rFonts w:ascii="Arial" w:cs="Arial" w:eastAsia="Arial" w:hAnsi="Arial"/>
          <w:i/>
          <w:iCs/>
          <w:color w:val="AAAAAA"/>
          <w:sz w:val="22"/>
          <w:szCs w:val="22"/>
        </w:rPr>
        <w:t xml:space="preserve"/>
      </w:r>
    </w:p>
    <w:p>
      <w:pPr>
        <w:pBdr>
          <w:bottom w:val="single" w:color="DCDCD0" w:sz="4" w:space="1"/>
        </w:pBdr>
        <w:spacing w:after="80" w:before="0"/>
      </w:pPr>
      <w:r>
        <w:rPr>
          <w:rFonts w:ascii="Arial" w:cs="Arial" w:eastAsia="Arial" w:hAnsi="Arial"/>
          <w:i/>
          <w:iCs/>
          <w:color w:val="AAAAAA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"/>
        <w:gridCol w:w="9180"/>
      </w:tblGrid>
      <w:tr>
        <w:tc>
          <w:tcPr>
            <w:tcW w:type="dxa" w:w="180"/>
            <w:tcBorders>
              <w:top w:val="single" w:color="DCDCD0" w:sz="1"/>
              <w:left w:val="single" w:color="DCDCD0" w:sz="1"/>
              <w:bottom w:val="single" w:color="DCDCD0" w:sz="1"/>
              <w:right w:val="none" w:color="FFFFFF" w:sz="0"/>
            </w:tcBorders>
            <w:shd w:fill="1E3A8A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/>
        </w:tc>
        <w:tc>
          <w:tcPr>
            <w:tcW w:type="dxa" w:w="9180"/>
            <w:tcBorders>
              <w:top w:val="single" w:color="DCDCD0" w:sz="1"/>
              <w:left w:val="none" w:color="FFFFFF" w:sz="0"/>
              <w:bottom w:val="single" w:color="DCDCD0" w:sz="1"/>
              <w:right w:val="single" w:color="DCDCD0" w:sz="1"/>
            </w:tcBorders>
            <w:shd w:fill="EEF2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aps/>
                <w:color w:val="1E3A8A"/>
                <w:spacing w:val="30"/>
                <w:sz w:val="16"/>
                <w:szCs w:val="16"/>
              </w:rPr>
              <w:t xml:space="preserve">Controller's note</w:t>
            </w:r>
          </w:p>
          <w:p>
            <w:pPr>
              <w:spacing w:before="60"/>
            </w:pPr>
            <w:r>
              <w:rPr>
                <w:rFonts w:ascii="Arial" w:cs="Arial" w:eastAsia="Arial" w:hAnsi="Arial"/>
                <w:i/>
                <w:iCs/>
                <w:color w:val="3C465C"/>
                <w:sz w:val="20"/>
                <w:szCs w:val="20"/>
              </w:rPr>
              <w:t xml:space="preserve">Root cause analysis is not a post-mortem formality — it is the input to the reserve methodology for the next period. If wire fraud events are consistently traced to a failure of callback verification, the reserve model should weight that scenario appropriately. Events without documented root causes are data quality failures that undermine the reserve framework.</w:t>
            </w:r>
          </w:p>
        </w:tc>
      </w:tr>
    </w:tbl>
    <w:p>
      <w:pPr>
        <w:spacing w:before="120"/>
      </w:pP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1E3A8A"/>
          <w:sz w:val="24"/>
          <w:szCs w:val="24"/>
        </w:rPr>
        <w:t xml:space="preserve">6. Remediation Actions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900"/>
        <w:gridCol w:w="2340"/>
        <w:gridCol w:w="1560"/>
        <w:gridCol w:w="1560"/>
      </w:tblGrid>
      <w:tr>
        <w:tc>
          <w:tcPr>
            <w:tcW w:type="dxa" w:w="390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shd w:fill="1E3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Action</w:t>
            </w:r>
          </w:p>
        </w:tc>
        <w:tc>
          <w:tcPr>
            <w:tcW w:type="dxa" w:w="234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shd w:fill="1E3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Owner</w:t>
            </w:r>
          </w:p>
        </w:tc>
        <w:tc>
          <w:tcPr>
            <w:tcW w:type="dxa" w:w="156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shd w:fill="1E3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Due Date</w:t>
            </w:r>
          </w:p>
        </w:tc>
        <w:tc>
          <w:tcPr>
            <w:tcW w:type="dxa" w:w="156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shd w:fill="1E3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Status</w:t>
            </w:r>
          </w:p>
        </w:tc>
      </w:tr>
      <w:tr>
        <w:tc>
          <w:tcPr>
            <w:tcW w:type="dxa" w:w="390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/>
        </w:tc>
        <w:tc>
          <w:tcPr>
            <w:tcW w:type="dxa" w:w="234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/>
        </w:tc>
        <w:tc>
          <w:tcPr>
            <w:tcW w:type="dxa" w:w="156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/>
        </w:tc>
        <w:tc>
          <w:tcPr>
            <w:tcW w:type="dxa" w:w="156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/>
        </w:tc>
      </w:tr>
      <w:tr>
        <w:tc>
          <w:tcPr>
            <w:tcW w:type="dxa" w:w="390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/>
        </w:tc>
        <w:tc>
          <w:tcPr>
            <w:tcW w:type="dxa" w:w="234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/>
        </w:tc>
        <w:tc>
          <w:tcPr>
            <w:tcW w:type="dxa" w:w="156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/>
        </w:tc>
        <w:tc>
          <w:tcPr>
            <w:tcW w:type="dxa" w:w="156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/>
        </w:tc>
      </w:tr>
      <w:tr>
        <w:tc>
          <w:tcPr>
            <w:tcW w:type="dxa" w:w="390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/>
        </w:tc>
        <w:tc>
          <w:tcPr>
            <w:tcW w:type="dxa" w:w="234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/>
        </w:tc>
        <w:tc>
          <w:tcPr>
            <w:tcW w:type="dxa" w:w="156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/>
        </w:tc>
        <w:tc>
          <w:tcPr>
            <w:tcW w:type="dxa" w:w="156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/>
        </w:tc>
      </w:tr>
    </w:tbl>
    <w:p>
      <w:pPr>
        <w:spacing w:before="200"/>
      </w:pP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1E3A8A"/>
          <w:sz w:val="24"/>
          <w:szCs w:val="24"/>
        </w:rPr>
        <w:t xml:space="preserve">7. Approval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shd w:fill="1E3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312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shd w:fill="1E3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Title</w:t>
            </w:r>
          </w:p>
        </w:tc>
        <w:tc>
          <w:tcPr>
            <w:tcW w:type="dxa" w:w="312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shd w:fill="1E3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Date / Signature</w:t>
            </w:r>
          </w:p>
        </w:tc>
      </w:tr>
      <w:tr>
        <w:tc>
          <w:tcPr>
            <w:tcW w:type="dxa" w:w="312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DCDCD0" w:sz="4" w:space="1"/>
              </w:pBdr>
            </w:pPr>
            <w:r>
              <w:rPr>
                <w:rFonts w:ascii="Arial" w:cs="Arial" w:eastAsia="Arial" w:hAnsi="Arial"/>
                <w:i/>
                <w:iCs/>
                <w:color w:val="3C465C"/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DCDCD0" w:sz="4" w:space="1"/>
              </w:pBdr>
            </w:pPr>
            <w:r>
              <w:rPr>
                <w:rFonts w:ascii="Arial" w:cs="Arial" w:eastAsia="Arial" w:hAnsi="Arial"/>
                <w:i/>
                <w:iCs/>
                <w:color w:val="3C465C"/>
                <w:sz w:val="20"/>
                <w:szCs w:val="20"/>
              </w:rPr>
              <w:t xml:space="preserve">Controller, TS&amp;P</w:t>
            </w:r>
          </w:p>
        </w:tc>
        <w:tc>
          <w:tcPr>
            <w:tcW w:type="dxa" w:w="312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DCDCD0" w:sz="4" w:space="1"/>
              </w:pBdr>
            </w:pPr>
            <w:r>
              <w:rPr>
                <w:rFonts w:ascii="Arial" w:cs="Arial" w:eastAsia="Arial" w:hAnsi="Arial"/>
                <w:i/>
                <w:iCs/>
                <w:color w:val="3C465C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DCDCD0" w:sz="4" w:space="1"/>
              </w:pBdr>
            </w:pPr>
            <w:r>
              <w:rPr>
                <w:rFonts w:ascii="Arial" w:cs="Arial" w:eastAsia="Arial" w:hAnsi="Arial"/>
                <w:i/>
                <w:iCs/>
                <w:color w:val="3C465C"/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DCDCD0" w:sz="4" w:space="1"/>
              </w:pBdr>
            </w:pPr>
            <w:r>
              <w:rPr>
                <w:rFonts w:ascii="Arial" w:cs="Arial" w:eastAsia="Arial" w:hAnsi="Arial"/>
                <w:i/>
                <w:iCs/>
                <w:color w:val="3C465C"/>
                <w:sz w:val="20"/>
                <w:szCs w:val="20"/>
              </w:rPr>
              <w:t xml:space="preserve">Operational Risk Management</w:t>
            </w:r>
          </w:p>
        </w:tc>
        <w:tc>
          <w:tcPr>
            <w:tcW w:type="dxa" w:w="312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DCDCD0" w:sz="4" w:space="1"/>
              </w:pBdr>
            </w:pPr>
            <w:r>
              <w:rPr>
                <w:rFonts w:ascii="Arial" w:cs="Arial" w:eastAsia="Arial" w:hAnsi="Arial"/>
                <w:i/>
                <w:iCs/>
                <w:color w:val="3C465C"/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400"/>
      </w:pPr>
      <w:r>
        <w:rPr>
          <w:rFonts w:ascii="Arial" w:cs="Arial" w:eastAsia="Arial" w:hAnsi="Arial"/>
          <w:i/>
          <w:iCs/>
          <w:color w:val="AAAAAA"/>
          <w:sz w:val="16"/>
          <w:szCs w:val="16"/>
        </w:rPr>
        <w:t xml:space="preserve">Template from liquiditycontroller.com. Adapt to your organization's policies and review requirements. Not legal or accounting advice.</w:t>
      </w:r>
    </w:p>
    <w:sectPr>
      <w:pgSz w:w="12240" w:h="15840" w:orient="portrait"/>
      <w:pgMar w:top="1080" w:right="108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2026-04-27T00:25:33.916Z</dcterms:created>
  <dcterms:modified xsi:type="dcterms:W3CDTF">2026-04-27T00:25:33.916Z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